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0712" w:rsidRPr="00265F5B" w:rsidRDefault="00FE0712" w:rsidP="00FE0712">
      <w:pPr>
        <w:jc w:val="both"/>
        <w:rPr>
          <w:rFonts w:cs="Arial"/>
          <w:sz w:val="22"/>
          <w:szCs w:val="22"/>
          <w:lang w:val="es-ES"/>
        </w:rPr>
      </w:pPr>
    </w:p>
    <w:p w:rsidR="00395C88" w:rsidRPr="00824EA7" w:rsidRDefault="00395C88" w:rsidP="00395C88">
      <w:pPr>
        <w:jc w:val="center"/>
        <w:rPr>
          <w:rFonts w:ascii="Arial Negrita" w:hAnsi="Arial Negrita"/>
          <w:b/>
          <w:smallCaps/>
          <w:color w:val="008000"/>
          <w:sz w:val="34"/>
          <w:szCs w:val="34"/>
        </w:rPr>
      </w:pPr>
      <w:r w:rsidRPr="009226A3">
        <w:rPr>
          <w:rFonts w:cs="Arial"/>
          <w:b/>
          <w:smallCaps/>
          <w:color w:val="008000"/>
          <w:sz w:val="34"/>
          <w:szCs w:val="34"/>
        </w:rPr>
        <w:t>Informe México del Proyecto “Mapeo de Habilidades del Mecanismo de Cooperación Económica Asia-Pacífico (APEC</w:t>
      </w:r>
      <w:r w:rsidRPr="00824EA7">
        <w:rPr>
          <w:rFonts w:ascii="Arial Negrita" w:hAnsi="Arial Negrita"/>
          <w:b/>
          <w:smallCaps/>
          <w:color w:val="008000"/>
          <w:sz w:val="34"/>
          <w:szCs w:val="34"/>
        </w:rPr>
        <w:t>).</w:t>
      </w:r>
    </w:p>
    <w:p w:rsidR="00395C88" w:rsidRDefault="00395C88" w:rsidP="00F86B5B">
      <w:pPr>
        <w:jc w:val="both"/>
      </w:pPr>
    </w:p>
    <w:p w:rsidR="00395C88" w:rsidRPr="00F86B5B" w:rsidRDefault="00395C88" w:rsidP="00F86B5B">
      <w:pPr>
        <w:spacing w:line="360" w:lineRule="auto"/>
        <w:jc w:val="both"/>
        <w:rPr>
          <w:rFonts w:asciiTheme="minorHAnsi" w:hAnsiTheme="minorHAnsi" w:cstheme="minorHAnsi"/>
          <w:sz w:val="22"/>
          <w:szCs w:val="22"/>
        </w:rPr>
      </w:pPr>
      <w:r w:rsidRPr="00F86B5B">
        <w:rPr>
          <w:rFonts w:asciiTheme="minorHAnsi" w:hAnsiTheme="minorHAnsi" w:cstheme="minorHAnsi"/>
          <w:sz w:val="22"/>
          <w:szCs w:val="22"/>
        </w:rPr>
        <w:t>El Informe México presenta el reporte del país con información sobre los aspectos siguientes:</w:t>
      </w:r>
    </w:p>
    <w:p w:rsidR="00395C88" w:rsidRPr="00F86B5B" w:rsidRDefault="00395C88" w:rsidP="00F86B5B">
      <w:pPr>
        <w:pStyle w:val="ListParagraph"/>
        <w:numPr>
          <w:ilvl w:val="0"/>
          <w:numId w:val="2"/>
        </w:numPr>
        <w:spacing w:after="200" w:line="360" w:lineRule="auto"/>
        <w:ind w:left="851"/>
        <w:jc w:val="both"/>
        <w:rPr>
          <w:rFonts w:asciiTheme="minorHAnsi" w:hAnsiTheme="minorHAnsi" w:cstheme="minorHAnsi"/>
          <w:sz w:val="22"/>
          <w:szCs w:val="22"/>
        </w:rPr>
      </w:pPr>
      <w:r w:rsidRPr="00F86B5B">
        <w:rPr>
          <w:rFonts w:asciiTheme="minorHAnsi" w:hAnsiTheme="minorHAnsi" w:cstheme="minorHAnsi"/>
          <w:sz w:val="22"/>
          <w:szCs w:val="22"/>
        </w:rPr>
        <w:t xml:space="preserve">Disponibilidad de datos relevantes para el control de la demanda de competencias y mano de obra, así como la predicción de un futuro empleo. </w:t>
      </w:r>
    </w:p>
    <w:p w:rsidR="00395C88" w:rsidRPr="00F86B5B" w:rsidRDefault="00395C88" w:rsidP="00F86B5B">
      <w:pPr>
        <w:pStyle w:val="ListParagraph"/>
        <w:numPr>
          <w:ilvl w:val="0"/>
          <w:numId w:val="2"/>
        </w:numPr>
        <w:spacing w:after="200" w:line="360" w:lineRule="auto"/>
        <w:ind w:left="851"/>
        <w:jc w:val="both"/>
        <w:rPr>
          <w:rFonts w:asciiTheme="minorHAnsi" w:hAnsiTheme="minorHAnsi" w:cstheme="minorHAnsi"/>
          <w:sz w:val="22"/>
          <w:szCs w:val="22"/>
        </w:rPr>
      </w:pPr>
      <w:r w:rsidRPr="00F86B5B">
        <w:rPr>
          <w:rFonts w:asciiTheme="minorHAnsi" w:hAnsiTheme="minorHAnsi" w:cstheme="minorHAnsi"/>
          <w:sz w:val="22"/>
          <w:szCs w:val="22"/>
        </w:rPr>
        <w:t>Contexto actual del mercado laboral con especial atención a la incidencia, de los excedentes y escasez de trabajadores.</w:t>
      </w:r>
    </w:p>
    <w:p w:rsidR="00395C88" w:rsidRPr="00F86B5B" w:rsidRDefault="00395C88" w:rsidP="00F86B5B">
      <w:pPr>
        <w:pStyle w:val="ListParagraph"/>
        <w:numPr>
          <w:ilvl w:val="0"/>
          <w:numId w:val="2"/>
        </w:numPr>
        <w:spacing w:after="200" w:line="360" w:lineRule="auto"/>
        <w:ind w:left="851"/>
        <w:jc w:val="both"/>
        <w:rPr>
          <w:rFonts w:asciiTheme="minorHAnsi" w:hAnsiTheme="minorHAnsi" w:cstheme="minorHAnsi"/>
          <w:sz w:val="22"/>
          <w:szCs w:val="22"/>
        </w:rPr>
      </w:pPr>
      <w:r w:rsidRPr="00F86B5B">
        <w:rPr>
          <w:rFonts w:asciiTheme="minorHAnsi" w:hAnsiTheme="minorHAnsi" w:cstheme="minorHAnsi"/>
          <w:sz w:val="22"/>
          <w:szCs w:val="22"/>
        </w:rPr>
        <w:t>Probables tendencias futuras de empleo</w:t>
      </w:r>
      <w:r w:rsidR="00CB1735" w:rsidRPr="00F86B5B">
        <w:rPr>
          <w:rFonts w:asciiTheme="minorHAnsi" w:hAnsiTheme="minorHAnsi" w:cstheme="minorHAnsi"/>
          <w:sz w:val="22"/>
          <w:szCs w:val="22"/>
        </w:rPr>
        <w:t>.</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Sobre la disponibilidad de datos relevantes para el control de la demanda de competencias y mano de obra, así como la predicción de un futuro empleo se entrega el Sistema Nacional de Clasificación de Ocupaciones, el cual describe cada una de las ocupaciones que existen en México, sin importar las condiciones en las que se desempeñen o el ámbito en el que se desarrollen, su estructura permite identificarlas y ordenarlas con base en sus características comunes.</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El nivel de mayor agregación de la clasificación es la división, y se define en función de la complejidad y diversidad de tareas y cometidos que se desempeñan en una ocupación. Dicha complejidad se mide básicamente por niveles de competencias que previamente están establecidos por la Clasificación Internacional Uniforme de Ocupaciones (</w:t>
      </w:r>
      <w:proofErr w:type="spellStart"/>
      <w:r w:rsidRPr="00F86B5B">
        <w:rPr>
          <w:rFonts w:asciiTheme="minorHAnsi" w:hAnsiTheme="minorHAnsi" w:cstheme="minorHAnsi"/>
          <w:sz w:val="22"/>
          <w:szCs w:val="22"/>
        </w:rPr>
        <w:t>CIUO</w:t>
      </w:r>
      <w:proofErr w:type="spellEnd"/>
      <w:r w:rsidRPr="00F86B5B">
        <w:rPr>
          <w:rFonts w:asciiTheme="minorHAnsi" w:hAnsiTheme="minorHAnsi" w:cstheme="minorHAnsi"/>
          <w:sz w:val="22"/>
          <w:szCs w:val="22"/>
        </w:rPr>
        <w:t>), de manera que cada nivel está determinado de acuerdo a ciertas exigencias, tareas y requerimientos inherentes a las ocupaciones y que se fijan en función de analizar nuevamente la naturaleza del trabajo y el nivel de formación, ya sea formal o informal.</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El segundo criterio es la especialización de las competencias, el cual hace referencia a particularidades que poseen las ocupaciones como son: el tipo de conocimientos, habilidades y destrezas que entran en juego en el desempeño de la ocupación; el equipo o las máquinas empleadas, los materiales utilizados, la naturaleza de los bienes y servicios producidos, y el contexto en el cual se lleva a cabo el trabajo. Este criterio permite diferenciar las ocupaciones en los niveles más detallados de la clasificación (de grupo principal a grupo unitario). Esto significa que pueden separarse ocupaciones que tienen tareas similares pero diferencias en el conocimiento requerido, en las herramientas usadas y el material producido.</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utilización de estos criterios permite contar con un clasificador con dos perspectivas sobre la información de las ocupaciones: la cuantitativa para el manejo de estadísticas censales y encuestas; y la cualitativa, para conocer situaciones laborales específicas, como la colocación laboral, los requerimientos de formación formal o informal para desempeñar la ocupación, las herramientas o el equipo o materias primas que se utilizan, el </w:t>
      </w:r>
      <w:r w:rsidRPr="00F86B5B">
        <w:rPr>
          <w:rFonts w:asciiTheme="minorHAnsi" w:hAnsiTheme="minorHAnsi" w:cstheme="minorHAnsi"/>
          <w:sz w:val="22"/>
          <w:szCs w:val="22"/>
        </w:rPr>
        <w:lastRenderedPageBreak/>
        <w:t>producto generado, la actividad manual o intelectual que se realiza, etcétera. Asimismo, ofrece un panorama de las actividades laborales a las que se dedica la población, coadyuvando a la planeación en materia de empleos, educación, orientación y vinculación laboral, además de acercarse a una base comparable con otras clasificaciones internacionales, como la Clasificación Internacional Uniforme de Ocupaciones (</w:t>
      </w:r>
      <w:proofErr w:type="spellStart"/>
      <w:r w:rsidRPr="00F86B5B">
        <w:rPr>
          <w:rFonts w:asciiTheme="minorHAnsi" w:hAnsiTheme="minorHAnsi" w:cstheme="minorHAnsi"/>
          <w:sz w:val="22"/>
          <w:szCs w:val="22"/>
        </w:rPr>
        <w:t>CIUO</w:t>
      </w:r>
      <w:proofErr w:type="spellEnd"/>
      <w:r w:rsidRPr="00F86B5B">
        <w:rPr>
          <w:rFonts w:asciiTheme="minorHAnsi" w:hAnsiTheme="minorHAnsi" w:cstheme="minorHAnsi"/>
          <w:sz w:val="22"/>
          <w:szCs w:val="22"/>
        </w:rPr>
        <w:t>) de la Organización Internacional del Trabajo (OIT), las clasificaciones nacionales de Canadá y Estados Unidos de América y en México la Clasificación Mexicana de Ocupaciones (</w:t>
      </w:r>
      <w:proofErr w:type="spellStart"/>
      <w:r w:rsidRPr="00F86B5B">
        <w:rPr>
          <w:rFonts w:asciiTheme="minorHAnsi" w:hAnsiTheme="minorHAnsi" w:cstheme="minorHAnsi"/>
          <w:sz w:val="22"/>
          <w:szCs w:val="22"/>
        </w:rPr>
        <w:t>CMO</w:t>
      </w:r>
      <w:proofErr w:type="spellEnd"/>
      <w:r w:rsidRPr="00F86B5B">
        <w:rPr>
          <w:rFonts w:asciiTheme="minorHAnsi" w:hAnsiTheme="minorHAnsi" w:cstheme="minorHAnsi"/>
          <w:sz w:val="22"/>
          <w:szCs w:val="22"/>
        </w:rPr>
        <w:t>) y el Catálogo Nacional de Ocupaciones (</w:t>
      </w:r>
      <w:proofErr w:type="spellStart"/>
      <w:r w:rsidRPr="00F86B5B">
        <w:rPr>
          <w:rFonts w:asciiTheme="minorHAnsi" w:hAnsiTheme="minorHAnsi" w:cstheme="minorHAnsi"/>
          <w:sz w:val="22"/>
          <w:szCs w:val="22"/>
        </w:rPr>
        <w:t>CNO</w:t>
      </w:r>
      <w:proofErr w:type="spellEnd"/>
      <w:r w:rsidRPr="00F86B5B">
        <w:rPr>
          <w:rFonts w:asciiTheme="minorHAnsi" w:hAnsiTheme="minorHAnsi" w:cstheme="minorHAnsi"/>
          <w:sz w:val="22"/>
          <w:szCs w:val="22"/>
        </w:rPr>
        <w:t>).</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El </w:t>
      </w:r>
      <w:proofErr w:type="spellStart"/>
      <w:r w:rsidRPr="00F86B5B">
        <w:rPr>
          <w:rFonts w:asciiTheme="minorHAnsi" w:hAnsiTheme="minorHAnsi" w:cstheme="minorHAnsi"/>
          <w:sz w:val="22"/>
          <w:szCs w:val="22"/>
        </w:rPr>
        <w:t>SINCO</w:t>
      </w:r>
      <w:proofErr w:type="spellEnd"/>
      <w:r w:rsidRPr="00F86B5B">
        <w:rPr>
          <w:rFonts w:asciiTheme="minorHAnsi" w:hAnsiTheme="minorHAnsi" w:cstheme="minorHAnsi"/>
          <w:sz w:val="22"/>
          <w:szCs w:val="22"/>
        </w:rPr>
        <w:t xml:space="preserve"> se inscribe dentro de los trabajos para la homologación, y estandarización de los clasificadores que hasta antes del 2008 eran utilizados en México (Catálogo Nacional de Ocupaciones de la Secretaría del Trabajo y Previsión Social y la Clasificación Mexicana de Ocupaciones del Instituto Nacional de Estadística y Geografía), y su articulación con los sistemas de clasificación de Estados Unidos (Standard </w:t>
      </w:r>
      <w:proofErr w:type="spellStart"/>
      <w:r w:rsidRPr="00F86B5B">
        <w:rPr>
          <w:rFonts w:asciiTheme="minorHAnsi" w:hAnsiTheme="minorHAnsi" w:cstheme="minorHAnsi"/>
          <w:sz w:val="22"/>
          <w:szCs w:val="22"/>
        </w:rPr>
        <w:t>Occupational</w:t>
      </w:r>
      <w:proofErr w:type="spellEnd"/>
      <w:r w:rsidRPr="00F86B5B">
        <w:rPr>
          <w:rFonts w:asciiTheme="minorHAnsi" w:hAnsiTheme="minorHAnsi" w:cstheme="minorHAnsi"/>
          <w:sz w:val="22"/>
          <w:szCs w:val="22"/>
        </w:rPr>
        <w:t xml:space="preserve"> </w:t>
      </w:r>
      <w:proofErr w:type="spellStart"/>
      <w:r w:rsidRPr="00F86B5B">
        <w:rPr>
          <w:rFonts w:asciiTheme="minorHAnsi" w:hAnsiTheme="minorHAnsi" w:cstheme="minorHAnsi"/>
          <w:sz w:val="22"/>
          <w:szCs w:val="22"/>
        </w:rPr>
        <w:t>Classification</w:t>
      </w:r>
      <w:proofErr w:type="spellEnd"/>
      <w:r w:rsidRPr="00F86B5B">
        <w:rPr>
          <w:rFonts w:asciiTheme="minorHAnsi" w:hAnsiTheme="minorHAnsi" w:cstheme="minorHAnsi"/>
          <w:sz w:val="22"/>
          <w:szCs w:val="22"/>
        </w:rPr>
        <w:t>), Canadá (</w:t>
      </w:r>
      <w:proofErr w:type="spellStart"/>
      <w:r w:rsidRPr="00F86B5B">
        <w:rPr>
          <w:rFonts w:asciiTheme="minorHAnsi" w:hAnsiTheme="minorHAnsi" w:cstheme="minorHAnsi"/>
          <w:sz w:val="22"/>
          <w:szCs w:val="22"/>
        </w:rPr>
        <w:t>National</w:t>
      </w:r>
      <w:proofErr w:type="spellEnd"/>
      <w:r w:rsidRPr="00F86B5B">
        <w:rPr>
          <w:rFonts w:asciiTheme="minorHAnsi" w:hAnsiTheme="minorHAnsi" w:cstheme="minorHAnsi"/>
          <w:sz w:val="22"/>
          <w:szCs w:val="22"/>
        </w:rPr>
        <w:t xml:space="preserve"> </w:t>
      </w:r>
      <w:proofErr w:type="spellStart"/>
      <w:r w:rsidRPr="00F86B5B">
        <w:rPr>
          <w:rFonts w:asciiTheme="minorHAnsi" w:hAnsiTheme="minorHAnsi" w:cstheme="minorHAnsi"/>
          <w:sz w:val="22"/>
          <w:szCs w:val="22"/>
        </w:rPr>
        <w:t>Occupational</w:t>
      </w:r>
      <w:proofErr w:type="spellEnd"/>
      <w:r w:rsidRPr="00F86B5B">
        <w:rPr>
          <w:rFonts w:asciiTheme="minorHAnsi" w:hAnsiTheme="minorHAnsi" w:cstheme="minorHAnsi"/>
          <w:sz w:val="22"/>
          <w:szCs w:val="22"/>
        </w:rPr>
        <w:t xml:space="preserve"> </w:t>
      </w:r>
      <w:proofErr w:type="spellStart"/>
      <w:r w:rsidRPr="00F86B5B">
        <w:rPr>
          <w:rFonts w:asciiTheme="minorHAnsi" w:hAnsiTheme="minorHAnsi" w:cstheme="minorHAnsi"/>
          <w:sz w:val="22"/>
          <w:szCs w:val="22"/>
        </w:rPr>
        <w:t>Classification</w:t>
      </w:r>
      <w:proofErr w:type="spellEnd"/>
      <w:r w:rsidRPr="00F86B5B">
        <w:rPr>
          <w:rFonts w:asciiTheme="minorHAnsi" w:hAnsiTheme="minorHAnsi" w:cstheme="minorHAnsi"/>
          <w:sz w:val="22"/>
          <w:szCs w:val="22"/>
        </w:rPr>
        <w:t xml:space="preserve">) y con la Organización Internacional del Trabajo para facilitar el diálogo con el objeto de alcanzar acuerdos de intercambio de fuerza laboral.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Dichos trabajos se llevaron a cabo desde noviembre del 2008, a través de la conformación del Comité Técnico Especializado de Estadísticas del Trabajo y Previsión Social integrado por funcionarios públicos del Instituto Nacional de Estadística y Geografía (INEGI), la Secretaría del Trabajo y Previsión Social (</w:t>
      </w:r>
      <w:proofErr w:type="spellStart"/>
      <w:r w:rsidRPr="00F86B5B">
        <w:rPr>
          <w:rFonts w:asciiTheme="minorHAnsi" w:hAnsiTheme="minorHAnsi" w:cstheme="minorHAnsi"/>
          <w:sz w:val="22"/>
          <w:szCs w:val="22"/>
        </w:rPr>
        <w:t>STPS</w:t>
      </w:r>
      <w:proofErr w:type="spellEnd"/>
      <w:r w:rsidRPr="00F86B5B">
        <w:rPr>
          <w:rFonts w:asciiTheme="minorHAnsi" w:hAnsiTheme="minorHAnsi" w:cstheme="minorHAnsi"/>
          <w:sz w:val="22"/>
          <w:szCs w:val="22"/>
        </w:rPr>
        <w:t>), la Secretaría de Educación Pública (</w:t>
      </w:r>
      <w:proofErr w:type="spellStart"/>
      <w:r w:rsidRPr="00F86B5B">
        <w:rPr>
          <w:rFonts w:asciiTheme="minorHAnsi" w:hAnsiTheme="minorHAnsi" w:cstheme="minorHAnsi"/>
          <w:sz w:val="22"/>
          <w:szCs w:val="22"/>
        </w:rPr>
        <w:t>SEP</w:t>
      </w:r>
      <w:proofErr w:type="spellEnd"/>
      <w:r w:rsidRPr="00F86B5B">
        <w:rPr>
          <w:rFonts w:asciiTheme="minorHAnsi" w:hAnsiTheme="minorHAnsi" w:cstheme="minorHAnsi"/>
          <w:sz w:val="22"/>
          <w:szCs w:val="22"/>
        </w:rPr>
        <w:t>), el Consejo Nacional de Normalización y Certificación de Competencias Laborales (CONOCER), el Instituto Mexicano del Seguro Social (IMSS), el Instituto de Seguridad y Servicios Sociales de los Trabajadores del Estado (</w:t>
      </w:r>
      <w:proofErr w:type="spellStart"/>
      <w:r w:rsidRPr="00F86B5B">
        <w:rPr>
          <w:rFonts w:asciiTheme="minorHAnsi" w:hAnsiTheme="minorHAnsi" w:cstheme="minorHAnsi"/>
          <w:sz w:val="22"/>
          <w:szCs w:val="22"/>
        </w:rPr>
        <w:t>ISSSTE</w:t>
      </w:r>
      <w:proofErr w:type="spellEnd"/>
      <w:r w:rsidRPr="00F86B5B">
        <w:rPr>
          <w:rFonts w:asciiTheme="minorHAnsi" w:hAnsiTheme="minorHAnsi" w:cstheme="minorHAnsi"/>
          <w:sz w:val="22"/>
          <w:szCs w:val="22"/>
        </w:rPr>
        <w:t>) y la Secretaría de Economía (SE).</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En abril del 2012 se marca la culminación del proyecto con la publicación en el Diario Oficial de la Federación del acuerdo de la Junta de Gobierno del INEGI donde se aprueba “establecer como norma técnica el Sistema Nacional de Clasificación de Ocupaciones (</w:t>
      </w:r>
      <w:proofErr w:type="spellStart"/>
      <w:r w:rsidRPr="00F86B5B">
        <w:rPr>
          <w:rFonts w:asciiTheme="minorHAnsi" w:hAnsiTheme="minorHAnsi" w:cstheme="minorHAnsi"/>
          <w:sz w:val="22"/>
          <w:szCs w:val="22"/>
        </w:rPr>
        <w:t>SINCO</w:t>
      </w:r>
      <w:proofErr w:type="spellEnd"/>
      <w:r w:rsidRPr="00F86B5B">
        <w:rPr>
          <w:rFonts w:asciiTheme="minorHAnsi" w:hAnsiTheme="minorHAnsi" w:cstheme="minorHAnsi"/>
          <w:sz w:val="22"/>
          <w:szCs w:val="22"/>
        </w:rPr>
        <w:t>), y sus actualizaciones como clasificador obligatorio para las Unidades de Estado que realicen actividades estadísticas y geográficas vinculadas a la informa</w:t>
      </w:r>
      <w:r w:rsidR="00F86B5B">
        <w:rPr>
          <w:rFonts w:asciiTheme="minorHAnsi" w:hAnsiTheme="minorHAnsi" w:cstheme="minorHAnsi"/>
          <w:sz w:val="22"/>
          <w:szCs w:val="22"/>
        </w:rPr>
        <w:t>ción sobre ocupación y empleo”.</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estructura de la clasificación de ocupaciones del </w:t>
      </w:r>
      <w:proofErr w:type="spellStart"/>
      <w:r w:rsidRPr="00F86B5B">
        <w:rPr>
          <w:rFonts w:asciiTheme="minorHAnsi" w:hAnsiTheme="minorHAnsi" w:cstheme="minorHAnsi"/>
          <w:sz w:val="22"/>
          <w:szCs w:val="22"/>
        </w:rPr>
        <w:t>SINCO</w:t>
      </w:r>
      <w:proofErr w:type="spellEnd"/>
      <w:r w:rsidRPr="00F86B5B">
        <w:rPr>
          <w:rFonts w:asciiTheme="minorHAnsi" w:hAnsiTheme="minorHAnsi" w:cstheme="minorHAnsi"/>
          <w:sz w:val="22"/>
          <w:szCs w:val="22"/>
        </w:rPr>
        <w:t xml:space="preserve"> se integra con nueve divisiones y para diferenciarlas se les asignó un código (a un dígito). Se determinan por el nivel de competencia en las que se integran grupos de ocupaciones relacionadas con funcionarios, directores y jefes; profesionistas y técnicos; trabajadores de actividades administrativas; comerciantes y empleados de venta; trabajadores en servicios personales y de vigilancia; con los que trabajan en actividades del campo o agropecuarios; trabajadores artesanales; los que operan maquinaria y los que apoyan en actividades elementales.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lastRenderedPageBreak/>
        <w:t>El siguiente nivel de desagregación lo integran 53 Grupos Principales (a dos dígitos), que se determinaron por el nivel de responsabilidad; ámbito de acción de las ocupaciones; áreas o campos de conocimiento; especialización de los servicios prestados; modalidad de venta (venta o alquiler); tipo de vigilancia y protección que se realiza; tipo de producto (agrícola, pecuario, forestal, pesquero y caza); tipo de material utilizado (papel, madera, metal, etcétera); secciones del proceso industrial y los materiales que se transforman, tratan, extraen, construyen o ensamblan y , tipo de transporte (aéreo, marítimo, terrestre) utilizado.</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El siguiente nivel está conformado por 156 Subgrupos (tres dígitos) y se determinó por las características particulares de las </w:t>
      </w:r>
      <w:proofErr w:type="spellStart"/>
      <w:r w:rsidRPr="00F86B5B">
        <w:rPr>
          <w:rFonts w:asciiTheme="minorHAnsi" w:hAnsiTheme="minorHAnsi" w:cstheme="minorHAnsi"/>
          <w:sz w:val="22"/>
          <w:szCs w:val="22"/>
        </w:rPr>
        <w:t>subáreas</w:t>
      </w:r>
      <w:proofErr w:type="spellEnd"/>
      <w:r w:rsidRPr="00F86B5B">
        <w:rPr>
          <w:rFonts w:asciiTheme="minorHAnsi" w:hAnsiTheme="minorHAnsi" w:cstheme="minorHAnsi"/>
          <w:sz w:val="22"/>
          <w:szCs w:val="22"/>
        </w:rPr>
        <w:t xml:space="preserve"> o campos de especialización en las que se desarrolla la ocupación y, finalmente en el último nivel de desglose se encuentran 468 Grupos Unitarios a cuatro dígitos (23 de ellos, son grupos de ocupaciones insuficientemente especificados) y se determinaron tomando como base la especialización de las competencias y la realización de funciones similares.</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En los primeros niveles de clasificación (división, grupo principal y subgrupo) se hace una descripción general de las actividades que los grupos de ocupaciones llevan a cabo, mientras que los Grupos Unitarios muestran una descripción más detallada de las actividades que desarrollan, así como el contexto en el cual se desempeñan, las áreas de conocimiento, el tipo de herramienta, maquinaria o equipo utilizado y los productos o servicios resultantes; además se presentan las actividades esenciales que describen de forma más detallada los procedimientos que se realizan para cumplir con las competencias que solicita el mercado, y finalmente relaciona conjunto de las principales ocupaciones que integran el Grupo Unitario.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Como se puede apreciar el </w:t>
      </w:r>
      <w:proofErr w:type="spellStart"/>
      <w:r w:rsidRPr="00F86B5B">
        <w:rPr>
          <w:rFonts w:asciiTheme="minorHAnsi" w:hAnsiTheme="minorHAnsi" w:cstheme="minorHAnsi"/>
          <w:sz w:val="22"/>
          <w:szCs w:val="22"/>
        </w:rPr>
        <w:t>SINCO</w:t>
      </w:r>
      <w:proofErr w:type="spellEnd"/>
      <w:r w:rsidRPr="00F86B5B">
        <w:rPr>
          <w:rFonts w:asciiTheme="minorHAnsi" w:hAnsiTheme="minorHAnsi" w:cstheme="minorHAnsi"/>
          <w:sz w:val="22"/>
          <w:szCs w:val="22"/>
        </w:rPr>
        <w:t>, es un marco metodológico consistente, actualizado para la recopilación, análisis y presentación de información ocupacional que refleja la estructura laboral de la economía mexicana. Constituye el primer sistema de clasificación ocupacional mexicano, basado en el nivel de competencias y con los principales lineamientos y recomendaciones internacionales.</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El </w:t>
      </w:r>
      <w:proofErr w:type="spellStart"/>
      <w:r w:rsidRPr="00F86B5B">
        <w:rPr>
          <w:rFonts w:asciiTheme="minorHAnsi" w:hAnsiTheme="minorHAnsi" w:cstheme="minorHAnsi"/>
          <w:sz w:val="22"/>
          <w:szCs w:val="22"/>
        </w:rPr>
        <w:t>SINCO</w:t>
      </w:r>
      <w:proofErr w:type="spellEnd"/>
      <w:r w:rsidRPr="00F86B5B">
        <w:rPr>
          <w:rFonts w:asciiTheme="minorHAnsi" w:hAnsiTheme="minorHAnsi" w:cstheme="minorHAnsi"/>
          <w:sz w:val="22"/>
          <w:szCs w:val="22"/>
        </w:rPr>
        <w:t xml:space="preserve"> es un instrumento que facilita el análisis y seguimiento del mercado de trabajo; la sustentación de los programas de búsqueda y oferta de empleo y de los programas de orientación vocacional; así como el diseño de programas formativos, de capacitación y certificación ocupacional; el desarrollo y determinación de los riesgos por ocupaciones y la elaboración de programas preventivos en materia de salud laboral.</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Es un sistema comparable con las clasificaciones utilizadas por nuestros principales socios comerciales (SOC de Estados Unidos de América y </w:t>
      </w:r>
      <w:proofErr w:type="spellStart"/>
      <w:r w:rsidRPr="00F86B5B">
        <w:rPr>
          <w:rFonts w:asciiTheme="minorHAnsi" w:hAnsiTheme="minorHAnsi" w:cstheme="minorHAnsi"/>
          <w:sz w:val="22"/>
          <w:szCs w:val="22"/>
        </w:rPr>
        <w:t>NOC</w:t>
      </w:r>
      <w:proofErr w:type="spellEnd"/>
      <w:r w:rsidRPr="00F86B5B">
        <w:rPr>
          <w:rFonts w:asciiTheme="minorHAnsi" w:hAnsiTheme="minorHAnsi" w:cstheme="minorHAnsi"/>
          <w:sz w:val="22"/>
          <w:szCs w:val="22"/>
        </w:rPr>
        <w:t xml:space="preserve"> de Canadá), así como el de la Organización Internacional del Trabajo (OIT).</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lastRenderedPageBreak/>
        <w:t xml:space="preserve">Sobre las condiciones actuales del mercado laboral, con especial atención a la incidencia de los excedentes y escasez de trabajadores se facilita una matriz con información ocupacional desagregada desde el año 2000 hasta el 2012. En México, las encuestas en hogares se levantan desde 1972 y a la fecha han cambiado de denominación, cobertura y contenido en diferentes ocasiones.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Así en 1988 se levantó el primer ejercicio </w:t>
      </w:r>
      <w:proofErr w:type="spellStart"/>
      <w:r w:rsidRPr="00F86B5B">
        <w:rPr>
          <w:rFonts w:asciiTheme="minorHAnsi" w:hAnsiTheme="minorHAnsi" w:cstheme="minorHAnsi"/>
          <w:sz w:val="22"/>
          <w:szCs w:val="22"/>
        </w:rPr>
        <w:t>muestral</w:t>
      </w:r>
      <w:proofErr w:type="spellEnd"/>
      <w:r w:rsidRPr="00F86B5B">
        <w:rPr>
          <w:rFonts w:asciiTheme="minorHAnsi" w:hAnsiTheme="minorHAnsi" w:cstheme="minorHAnsi"/>
          <w:sz w:val="22"/>
          <w:szCs w:val="22"/>
        </w:rPr>
        <w:t xml:space="preserve"> de lo que después sería la Encuesta Nacional de Empleo (ENE), la cual se aplicó anualmente, en los segundos semestres de los años 1991, 1993 y 1995, y se presentó secuencialmente hasta que en el 2000 se aplicó periódicamente, cada trimestre y a partir del 2005 se le cambió su denominación a Encuesta Nacional de Ocupación y Empleo (</w:t>
      </w:r>
      <w:proofErr w:type="spellStart"/>
      <w:r w:rsidRPr="00F86B5B">
        <w:rPr>
          <w:rFonts w:asciiTheme="minorHAnsi" w:hAnsiTheme="minorHAnsi" w:cstheme="minorHAnsi"/>
          <w:sz w:val="22"/>
          <w:szCs w:val="22"/>
        </w:rPr>
        <w:t>ENOE</w:t>
      </w:r>
      <w:proofErr w:type="spellEnd"/>
      <w:r w:rsidRPr="00F86B5B">
        <w:rPr>
          <w:rFonts w:asciiTheme="minorHAnsi" w:hAnsiTheme="minorHAnsi" w:cstheme="minorHAnsi"/>
          <w:sz w:val="22"/>
          <w:szCs w:val="22"/>
        </w:rPr>
        <w:t>).</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w:t>
      </w:r>
      <w:proofErr w:type="spellStart"/>
      <w:r w:rsidRPr="00F86B5B">
        <w:rPr>
          <w:rFonts w:asciiTheme="minorHAnsi" w:hAnsiTheme="minorHAnsi" w:cstheme="minorHAnsi"/>
          <w:sz w:val="22"/>
          <w:szCs w:val="22"/>
        </w:rPr>
        <w:t>ENOE</w:t>
      </w:r>
      <w:proofErr w:type="spellEnd"/>
      <w:r w:rsidRPr="00F86B5B">
        <w:rPr>
          <w:rFonts w:asciiTheme="minorHAnsi" w:hAnsiTheme="minorHAnsi" w:cstheme="minorHAnsi"/>
          <w:sz w:val="22"/>
          <w:szCs w:val="22"/>
        </w:rPr>
        <w:t xml:space="preserve"> tiene como finalidad proporcionar información sobre la situación ocupacional del país desagregando los datos estadísticos de la población que se ha incorporado en los mercados de trabajo y las condiciones en que lo han hecho; la población que intenta colocarse en los mercados de trabajo y aún no lo ha logrado y la población que está fuera de los mercados de trabajo.</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w:t>
      </w:r>
      <w:proofErr w:type="spellStart"/>
      <w:r w:rsidRPr="00F86B5B">
        <w:rPr>
          <w:rFonts w:asciiTheme="minorHAnsi" w:hAnsiTheme="minorHAnsi" w:cstheme="minorHAnsi"/>
          <w:sz w:val="22"/>
          <w:szCs w:val="22"/>
        </w:rPr>
        <w:t>ENOE</w:t>
      </w:r>
      <w:proofErr w:type="spellEnd"/>
      <w:r w:rsidRPr="00F86B5B">
        <w:rPr>
          <w:rFonts w:asciiTheme="minorHAnsi" w:hAnsiTheme="minorHAnsi" w:cstheme="minorHAnsi"/>
          <w:sz w:val="22"/>
          <w:szCs w:val="22"/>
        </w:rPr>
        <w:t xml:space="preserve"> se levanta a través de una muestra a población que reside permanentemente en las viviendas particulares dentro del territorio nacional.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El esquema de muestreo de la </w:t>
      </w:r>
      <w:proofErr w:type="spellStart"/>
      <w:r w:rsidRPr="00F86B5B">
        <w:rPr>
          <w:rFonts w:asciiTheme="minorHAnsi" w:hAnsiTheme="minorHAnsi" w:cstheme="minorHAnsi"/>
          <w:sz w:val="22"/>
          <w:szCs w:val="22"/>
        </w:rPr>
        <w:t>ENOE</w:t>
      </w:r>
      <w:proofErr w:type="spellEnd"/>
      <w:r w:rsidRPr="00F86B5B">
        <w:rPr>
          <w:rFonts w:asciiTheme="minorHAnsi" w:hAnsiTheme="minorHAnsi" w:cstheme="minorHAnsi"/>
          <w:sz w:val="22"/>
          <w:szCs w:val="22"/>
        </w:rPr>
        <w:t xml:space="preserve"> es probabilístico porque las unidades de selección tienen una probabilidad conocida y distinta de cero de ser seleccionadas; es estratificado porque las unidades primarias de muestreo tienen características similares y se agrupan para formar estratos; es </w:t>
      </w:r>
      <w:proofErr w:type="spellStart"/>
      <w:r w:rsidRPr="00F86B5B">
        <w:rPr>
          <w:rFonts w:asciiTheme="minorHAnsi" w:hAnsiTheme="minorHAnsi" w:cstheme="minorHAnsi"/>
          <w:sz w:val="22"/>
          <w:szCs w:val="22"/>
        </w:rPr>
        <w:t>bietápica</w:t>
      </w:r>
      <w:proofErr w:type="spellEnd"/>
      <w:r w:rsidRPr="00F86B5B">
        <w:rPr>
          <w:rFonts w:asciiTheme="minorHAnsi" w:hAnsiTheme="minorHAnsi" w:cstheme="minorHAnsi"/>
          <w:sz w:val="22"/>
          <w:szCs w:val="22"/>
        </w:rPr>
        <w:t xml:space="preserve"> porque la unidad última de muestreo es seleccionada en dos etapas y finalmente, es por conglomerados porque las unidades de muestreo son conjuntos de unidades </w:t>
      </w:r>
      <w:proofErr w:type="spellStart"/>
      <w:r w:rsidRPr="00F86B5B">
        <w:rPr>
          <w:rFonts w:asciiTheme="minorHAnsi" w:hAnsiTheme="minorHAnsi" w:cstheme="minorHAnsi"/>
          <w:sz w:val="22"/>
          <w:szCs w:val="22"/>
        </w:rPr>
        <w:t>muestrales</w:t>
      </w:r>
      <w:proofErr w:type="spellEnd"/>
      <w:r w:rsidRPr="00F86B5B">
        <w:rPr>
          <w:rFonts w:asciiTheme="minorHAnsi" w:hAnsiTheme="minorHAnsi" w:cstheme="minorHAnsi"/>
          <w:sz w:val="22"/>
          <w:szCs w:val="22"/>
        </w:rPr>
        <w:t>.</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El tamaño de la muestra es calculada para proporcionar estimaciones a todos los niveles de cobertura de la encuesta y actualmente, se integra por más de 120 mil viviendas.</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El marco de viviendas se actualiza de forma cartográfica permanentemente debido a la rotación de la muestra y al envejecimiento del marco </w:t>
      </w:r>
      <w:proofErr w:type="spellStart"/>
      <w:r w:rsidRPr="00F86B5B">
        <w:rPr>
          <w:rFonts w:asciiTheme="minorHAnsi" w:hAnsiTheme="minorHAnsi" w:cstheme="minorHAnsi"/>
          <w:sz w:val="22"/>
          <w:szCs w:val="22"/>
        </w:rPr>
        <w:t>muestral</w:t>
      </w:r>
      <w:proofErr w:type="spellEnd"/>
      <w:r w:rsidRPr="00F86B5B">
        <w:rPr>
          <w:rFonts w:asciiTheme="minorHAnsi" w:hAnsiTheme="minorHAnsi" w:cstheme="minorHAnsi"/>
          <w:sz w:val="22"/>
          <w:szCs w:val="22"/>
        </w:rPr>
        <w:t>.</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La selección de la muestra se realiza de manera independiente por entidad, dominio y estrato. Para tal efecto, primero se seleccionan los grupos de vivienda y después haciendo uso de técnicas probabilísticas aplicadas a un universo agrupado en conglomerados y segmentado en estratos, se seleccionan las viviendas donde se levantará la entrevista.</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El levantamiento de los datos es continúo durante todos los días y la información ya procesada se presenta de forma trimestral.</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lastRenderedPageBreak/>
        <w:t>El operativo de campo se integra ´por el levantamiento de la entrevista, la supervisión del trabajo en campo y la codificación de la información y control de calidad del proceso.</w:t>
      </w:r>
    </w:p>
    <w:p w:rsidR="00395C88" w:rsidRPr="00F86B5B" w:rsidRDefault="00395C88" w:rsidP="00F86B5B">
      <w:pPr>
        <w:spacing w:after="240" w:line="360" w:lineRule="auto"/>
        <w:rPr>
          <w:rFonts w:asciiTheme="minorHAnsi" w:hAnsiTheme="minorHAnsi" w:cstheme="minorHAnsi"/>
          <w:sz w:val="22"/>
          <w:szCs w:val="22"/>
        </w:rPr>
      </w:pPr>
      <w:r w:rsidRPr="00F86B5B">
        <w:rPr>
          <w:rFonts w:asciiTheme="minorHAnsi" w:hAnsiTheme="minorHAnsi" w:cstheme="minorHAnsi"/>
          <w:sz w:val="22"/>
          <w:szCs w:val="22"/>
        </w:rPr>
        <w:t xml:space="preserve">La confiabilidad de la información de la </w:t>
      </w:r>
      <w:proofErr w:type="spellStart"/>
      <w:r w:rsidRPr="00F86B5B">
        <w:rPr>
          <w:rFonts w:asciiTheme="minorHAnsi" w:hAnsiTheme="minorHAnsi" w:cstheme="minorHAnsi"/>
          <w:sz w:val="22"/>
          <w:szCs w:val="22"/>
        </w:rPr>
        <w:t>ENOE</w:t>
      </w:r>
      <w:proofErr w:type="spellEnd"/>
      <w:r w:rsidRPr="00F86B5B">
        <w:rPr>
          <w:rFonts w:asciiTheme="minorHAnsi" w:hAnsiTheme="minorHAnsi" w:cstheme="minorHAnsi"/>
          <w:sz w:val="22"/>
          <w:szCs w:val="22"/>
        </w:rPr>
        <w:t xml:space="preserve"> está basado en su diseño probabilístico que le da validez a la información para todo el universo de estudio.</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Los indicadores que se reportan en este Informe se refieren a la población total que se separa por una parte, en los menores de 14 años y por la otra, en los de 14 años y más, la cual a su vez se disgrega en población económicamente activa, que se divide en población ocupada y población desocupada, y la población no económicamente activa, por su parte se distribuye en población disponible y población no disponible.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Por otra parte, la población ocupada se subdivide en la categoría de posición en la ocupación por trabajadores subordinados y remunerados sean éstos, asalariados o con percepciones no salariales, así como por empleadores, trabajadores por cuenta propia y trabajadores no remunerados.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población ocupada por el sector de actividad económica se desglosa en primario (agricultura;  ganadería; silvicultura; caza y pesca), secundario (industria extractiva y de la electricidad; industria manufacturera y construcción) y terciario (comercio, restaurantes y servicios de alojamiento, transportes, comunicaciones, correo y almacenamiento, servicios profesionales, financieros y corporativos; servicios sociales; servicios diversos; gobierno y organismos internacionales).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población ocupada por nivel de ingresos presenta el número de trabajadores que percibe un salario mínimo, más de 1 hasta 2 salarios mínimos; más de 2 hasta 3 salarios mínimos; más de 3 hasta 5 salarios mínimos; más de 5 salarios mínimos, porque no recibe ingresos y los no  especificados.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La población ocupada por la duración de la jornada de trabajo informa sobre los trabajadores que están ausentes temporales con vínculo laboral; aquello que laboraron menos de 15 horas; de 15 a 34 horas, de 35 a 48 horas; más de 48 horas y no especificados</w:t>
      </w:r>
      <w:r w:rsidR="00CB1735" w:rsidRPr="00F86B5B">
        <w:rPr>
          <w:rFonts w:asciiTheme="minorHAnsi" w:hAnsiTheme="minorHAnsi" w:cstheme="minorHAnsi"/>
          <w:sz w:val="22"/>
          <w:szCs w:val="22"/>
        </w:rPr>
        <w:t>.</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población ocupada también se clasifica por las condiciones de acceso a las instituciones de salud, si se tiene o no acceso y los que no lo especifican.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población ocupada por el ámbito y tamaño de la unidad económica, muestra si la persona labora en el ámbito agropecuario o no agropecuario; así como en </w:t>
      </w:r>
      <w:proofErr w:type="spellStart"/>
      <w:r w:rsidRPr="00F86B5B">
        <w:rPr>
          <w:rFonts w:asciiTheme="minorHAnsi" w:hAnsiTheme="minorHAnsi" w:cstheme="minorHAnsi"/>
          <w:sz w:val="22"/>
          <w:szCs w:val="22"/>
        </w:rPr>
        <w:t>micronegocios</w:t>
      </w:r>
      <w:proofErr w:type="spellEnd"/>
      <w:r w:rsidRPr="00F86B5B">
        <w:rPr>
          <w:rFonts w:asciiTheme="minorHAnsi" w:hAnsiTheme="minorHAnsi" w:cstheme="minorHAnsi"/>
          <w:sz w:val="22"/>
          <w:szCs w:val="22"/>
        </w:rPr>
        <w:t xml:space="preserve">; sin o con establecimiento; pequeños, medianos o grandes establecimientos, gobierno, otros, así como los no especificados.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lastRenderedPageBreak/>
        <w:t>La población ocupada por tipo de unidad económica, cuenta a las personas que laboran en compañías y negocios; empresas constituid</w:t>
      </w:r>
      <w:r w:rsidR="00E04557" w:rsidRPr="00F86B5B">
        <w:rPr>
          <w:rFonts w:asciiTheme="minorHAnsi" w:hAnsiTheme="minorHAnsi" w:cstheme="minorHAnsi"/>
          <w:sz w:val="22"/>
          <w:szCs w:val="22"/>
        </w:rPr>
        <w:t xml:space="preserve">as en sociedad y corporaciones; </w:t>
      </w:r>
      <w:r w:rsidRPr="00F86B5B">
        <w:rPr>
          <w:rFonts w:asciiTheme="minorHAnsi" w:hAnsiTheme="minorHAnsi" w:cstheme="minorHAnsi"/>
          <w:sz w:val="22"/>
          <w:szCs w:val="22"/>
        </w:rPr>
        <w:t xml:space="preserve">negocios no constituidos en sociedad; instituciones privadas y públicas; administradas y no administradas por los gobiernos; sector de los hogares; sector informal; trabajo doméstico remunerado; agricultura de auto subsistencia y situaciones de carácter especial y no especificadas.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Los trabajadores subordinados y remunerados también se agrupan por sector de actividad económica en primario, secundario, terciario y en no especificado; por su nivel de ingresos desde menos de un salario mínimo hasta más de 5 salarios mínimos; por la duración de la jornada de trabajo, de menos de 15 horas hasta más de 48 horas; por sus condiciones o no de acceso a las instituciones de salud, así como por contar o no con prestaciones laborales.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Los trabajadores subordinados y remunerados también se clasifican porque tienen la disponibilidad de contrato escrito que cubre contrato escrito (temporal, de base, planta o por tiempo indefinido y contrato de tipo no especificado), sin contrato escrito y no especificado.</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El indicador de trabajador subordinado y remunerado no agropecuario se presenta por tamaño de la unidad económica en que se dividen en </w:t>
      </w:r>
      <w:proofErr w:type="spellStart"/>
      <w:r w:rsidRPr="00F86B5B">
        <w:rPr>
          <w:rFonts w:asciiTheme="minorHAnsi" w:hAnsiTheme="minorHAnsi" w:cstheme="minorHAnsi"/>
          <w:sz w:val="22"/>
          <w:szCs w:val="22"/>
        </w:rPr>
        <w:t>micronegocios</w:t>
      </w:r>
      <w:proofErr w:type="spellEnd"/>
      <w:r w:rsidRPr="00F86B5B">
        <w:rPr>
          <w:rFonts w:asciiTheme="minorHAnsi" w:hAnsiTheme="minorHAnsi" w:cstheme="minorHAnsi"/>
          <w:sz w:val="22"/>
          <w:szCs w:val="22"/>
        </w:rPr>
        <w:t xml:space="preserve"> (con y sin establecimiento), pequeños, medianos y grandes establecimientos, de gobierno y los no especificados.</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Población </w:t>
      </w:r>
      <w:proofErr w:type="spellStart"/>
      <w:r w:rsidRPr="00F86B5B">
        <w:rPr>
          <w:rFonts w:asciiTheme="minorHAnsi" w:hAnsiTheme="minorHAnsi" w:cstheme="minorHAnsi"/>
          <w:sz w:val="22"/>
          <w:szCs w:val="22"/>
        </w:rPr>
        <w:t>subocupada</w:t>
      </w:r>
      <w:proofErr w:type="spellEnd"/>
      <w:r w:rsidRPr="00F86B5B">
        <w:rPr>
          <w:rFonts w:asciiTheme="minorHAnsi" w:hAnsiTheme="minorHAnsi" w:cstheme="minorHAnsi"/>
          <w:sz w:val="22"/>
          <w:szCs w:val="22"/>
        </w:rPr>
        <w:t xml:space="preserve"> se muestra por condición o sin condición de búsqueda de trabajo adicional; por nivel de instrucción si tiene primaria incompleta; primaria completa; secundaria completa; medio superior, superior y no especificado; por po</w:t>
      </w:r>
      <w:r w:rsidR="00E04557" w:rsidRPr="00F86B5B">
        <w:rPr>
          <w:rFonts w:asciiTheme="minorHAnsi" w:hAnsiTheme="minorHAnsi" w:cstheme="minorHAnsi"/>
          <w:sz w:val="22"/>
          <w:szCs w:val="22"/>
        </w:rPr>
        <w:t xml:space="preserve">sición en la </w:t>
      </w:r>
      <w:r w:rsidRPr="00F86B5B">
        <w:rPr>
          <w:rFonts w:asciiTheme="minorHAnsi" w:hAnsiTheme="minorHAnsi" w:cstheme="minorHAnsi"/>
          <w:sz w:val="22"/>
          <w:szCs w:val="22"/>
        </w:rPr>
        <w:t>ocupación desagregándose en trabajadores subordinados y remunerados y éstos en asalariados y con percepciones no salariales; así como en empleadores; trabajadores por cuenta propia; trabajadores no remunerados y los no especificados; por sector de actividad económica se divide en primario, secundario, terciario y no especificado.</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Población desocupada se muestra por si cuenta con experiencia desagregándose en si perdió o terminó su empleo anterior, si renunció o dejó su empleo anterior; si dejó o cerró un negocio propio; así como que no cuente con experiencia. También se presenta por su nivel de instrucción, dividida desde primaria incompleta hasta estudios de nivel superior o no especificados.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El indicador que hace referencia a la población no económicamente activa se desagrega en disponible y no disponible. La disponible a su vez se divide personas que quieren trabajar pero que han desistido de buscar empleo y en personas disponibles para trabajar pero que no buscan empleo por considerar que no tiene posibilidades y por otra parte, las personas no disponibles se muestra por la categorías de personas con interés </w:t>
      </w:r>
      <w:r w:rsidRPr="00F86B5B">
        <w:rPr>
          <w:rFonts w:asciiTheme="minorHAnsi" w:hAnsiTheme="minorHAnsi" w:cstheme="minorHAnsi"/>
          <w:sz w:val="22"/>
          <w:szCs w:val="22"/>
        </w:rPr>
        <w:lastRenderedPageBreak/>
        <w:t>para trabajar, pero bajo un contexto que les impide hacerlo; personas sin interés para trabajar por atender otras obligaciones; personas con impedimentos físicos para trabajar y otros.</w:t>
      </w:r>
    </w:p>
    <w:p w:rsidR="00395C88" w:rsidRPr="00F86B5B" w:rsidRDefault="00F86B5B"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Los</w:t>
      </w:r>
      <w:r w:rsidR="00395C88" w:rsidRPr="00F86B5B">
        <w:rPr>
          <w:rFonts w:asciiTheme="minorHAnsi" w:hAnsiTheme="minorHAnsi" w:cstheme="minorHAnsi"/>
          <w:sz w:val="22"/>
          <w:szCs w:val="22"/>
        </w:rPr>
        <w:t xml:space="preserve"> promedios y medianas que se presentan en la Encuesta</w:t>
      </w:r>
      <w:r w:rsidRPr="00F86B5B">
        <w:rPr>
          <w:rFonts w:asciiTheme="minorHAnsi" w:hAnsiTheme="minorHAnsi" w:cstheme="minorHAnsi"/>
          <w:sz w:val="22"/>
          <w:szCs w:val="22"/>
        </w:rPr>
        <w:t xml:space="preserve"> Nacional de Ocupación y Empleo</w:t>
      </w:r>
      <w:r w:rsidR="00395C88" w:rsidRPr="00F86B5B">
        <w:rPr>
          <w:rFonts w:asciiTheme="minorHAnsi" w:hAnsiTheme="minorHAnsi" w:cstheme="minorHAnsi"/>
          <w:sz w:val="22"/>
          <w:szCs w:val="22"/>
        </w:rPr>
        <w:t xml:space="preserve"> se refieren a las categorías de edad de la población económicamente activa; años de escolaridad de la población económicamente activa; h</w:t>
      </w:r>
      <w:r w:rsidR="00E04557" w:rsidRPr="00F86B5B">
        <w:rPr>
          <w:rFonts w:asciiTheme="minorHAnsi" w:hAnsiTheme="minorHAnsi" w:cstheme="minorHAnsi"/>
          <w:sz w:val="22"/>
          <w:szCs w:val="22"/>
        </w:rPr>
        <w:t xml:space="preserve">oras trabajadas a la </w:t>
      </w:r>
      <w:r w:rsidR="00395C88" w:rsidRPr="00F86B5B">
        <w:rPr>
          <w:rFonts w:asciiTheme="minorHAnsi" w:hAnsiTheme="minorHAnsi" w:cstheme="minorHAnsi"/>
          <w:sz w:val="22"/>
          <w:szCs w:val="22"/>
        </w:rPr>
        <w:t>semana por la población ocupada; ingresos (pesos) por hora trabajada de la población ocupada; empleadores; cuenta propia; cuenta propia en actividades no calificadas: trabajadores subordinados y remunerados asalariados; trabajadores subordinados y remunerados con percepciones no salariales</w:t>
      </w:r>
      <w:r w:rsidR="00CB1735" w:rsidRPr="00F86B5B">
        <w:rPr>
          <w:rFonts w:asciiTheme="minorHAnsi" w:hAnsiTheme="minorHAnsi" w:cstheme="minorHAnsi"/>
          <w:sz w:val="22"/>
          <w:szCs w:val="22"/>
        </w:rPr>
        <w:t>.</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Por su parte, las tasas que se muestran en la </w:t>
      </w:r>
      <w:proofErr w:type="spellStart"/>
      <w:r w:rsidRPr="00F86B5B">
        <w:rPr>
          <w:rFonts w:asciiTheme="minorHAnsi" w:hAnsiTheme="minorHAnsi" w:cstheme="minorHAnsi"/>
          <w:sz w:val="22"/>
          <w:szCs w:val="22"/>
        </w:rPr>
        <w:t>ENOE</w:t>
      </w:r>
      <w:proofErr w:type="spellEnd"/>
      <w:r w:rsidRPr="00F86B5B">
        <w:rPr>
          <w:rFonts w:asciiTheme="minorHAnsi" w:hAnsiTheme="minorHAnsi" w:cstheme="minorHAnsi"/>
          <w:sz w:val="22"/>
          <w:szCs w:val="22"/>
        </w:rPr>
        <w:t xml:space="preserve"> son tasa de participación, tasa de desocupación, tasa de ocupación parcial y desocupación, tasa de presión general, tasa de trabajo asalariado, tasa de subocupación, tasa de condiciones críticas de ocupación</w:t>
      </w:r>
      <w:r w:rsidR="00E04557" w:rsidRPr="00F86B5B">
        <w:rPr>
          <w:rFonts w:asciiTheme="minorHAnsi" w:hAnsiTheme="minorHAnsi" w:cstheme="minorHAnsi"/>
          <w:sz w:val="22"/>
          <w:szCs w:val="22"/>
        </w:rPr>
        <w:t xml:space="preserve">, y </w:t>
      </w:r>
      <w:r w:rsidRPr="00F86B5B">
        <w:rPr>
          <w:rFonts w:asciiTheme="minorHAnsi" w:hAnsiTheme="minorHAnsi" w:cstheme="minorHAnsi"/>
          <w:sz w:val="22"/>
          <w:szCs w:val="22"/>
        </w:rPr>
        <w:t>tasa de ocupación en el sector informal.</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Para el apartado de las probables tendencias futuras en el empleo se presenta la Encuesta de Expectativas de Empleo </w:t>
      </w:r>
      <w:proofErr w:type="spellStart"/>
      <w:r w:rsidRPr="00F86B5B">
        <w:rPr>
          <w:rFonts w:asciiTheme="minorHAnsi" w:hAnsiTheme="minorHAnsi" w:cstheme="minorHAnsi"/>
          <w:sz w:val="22"/>
          <w:szCs w:val="22"/>
        </w:rPr>
        <w:t>Manpower</w:t>
      </w:r>
      <w:proofErr w:type="spellEnd"/>
      <w:r w:rsidRPr="00F86B5B">
        <w:rPr>
          <w:rFonts w:asciiTheme="minorHAnsi" w:hAnsiTheme="minorHAnsi" w:cstheme="minorHAnsi"/>
          <w:sz w:val="22"/>
          <w:szCs w:val="22"/>
        </w:rPr>
        <w:t xml:space="preserve"> México para el </w:t>
      </w:r>
      <w:proofErr w:type="spellStart"/>
      <w:r w:rsidRPr="00F86B5B">
        <w:rPr>
          <w:rFonts w:asciiTheme="minorHAnsi" w:hAnsiTheme="minorHAnsi" w:cstheme="minorHAnsi"/>
          <w:sz w:val="22"/>
          <w:szCs w:val="22"/>
        </w:rPr>
        <w:t>1ro</w:t>
      </w:r>
      <w:proofErr w:type="spellEnd"/>
      <w:r w:rsidRPr="00F86B5B">
        <w:rPr>
          <w:rFonts w:asciiTheme="minorHAnsi" w:hAnsiTheme="minorHAnsi" w:cstheme="minorHAnsi"/>
          <w:sz w:val="22"/>
          <w:szCs w:val="22"/>
        </w:rPr>
        <w:t xml:space="preserve">. y </w:t>
      </w:r>
      <w:proofErr w:type="spellStart"/>
      <w:r w:rsidRPr="00F86B5B">
        <w:rPr>
          <w:rFonts w:asciiTheme="minorHAnsi" w:hAnsiTheme="minorHAnsi" w:cstheme="minorHAnsi"/>
          <w:sz w:val="22"/>
          <w:szCs w:val="22"/>
        </w:rPr>
        <w:t>2do</w:t>
      </w:r>
      <w:proofErr w:type="spellEnd"/>
      <w:r w:rsidRPr="00F86B5B">
        <w:rPr>
          <w:rFonts w:asciiTheme="minorHAnsi" w:hAnsiTheme="minorHAnsi" w:cstheme="minorHAnsi"/>
          <w:sz w:val="22"/>
          <w:szCs w:val="22"/>
        </w:rPr>
        <w:t xml:space="preserve"> trimestres de 2013.</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Dicha Encuesta de Expectativas de Empleo levantada por </w:t>
      </w:r>
      <w:proofErr w:type="spellStart"/>
      <w:r w:rsidRPr="00F86B5B">
        <w:rPr>
          <w:rFonts w:asciiTheme="minorHAnsi" w:hAnsiTheme="minorHAnsi" w:cstheme="minorHAnsi"/>
          <w:sz w:val="22"/>
          <w:szCs w:val="22"/>
        </w:rPr>
        <w:t>Manpower</w:t>
      </w:r>
      <w:proofErr w:type="spellEnd"/>
      <w:r w:rsidRPr="00F86B5B">
        <w:rPr>
          <w:rFonts w:asciiTheme="minorHAnsi" w:hAnsiTheme="minorHAnsi" w:cstheme="minorHAnsi"/>
          <w:sz w:val="22"/>
          <w:szCs w:val="22"/>
        </w:rPr>
        <w:t xml:space="preserve">, nace en 1962 en Estados Unidos y Canadá; en 1966, se lanza  la Encuesta Trimestral de Prospección de Empleo en el Reino Unido siendo la primera en su tipo en Europa; en 1976, se actualiza la metodología con avances en el campo de la investigación de mercado; en 2002, la Encuesta Trimestral de Prospección de Empleo nuevamente se actualiza y adopta una mejor metodología de investigación y en México se hace el lanzamiento de la encuesta; en 2003, se lanza la tercera generación de la Encuesta de Expectativas de Empleo en México y en 17 países más; en 2004 y 2005, se lanza la encuesta de expectativas de empleo en 5 países más; en 2006 en México se hicieron ajustes de tipo estacional; 2007, 2008, 2009, 2010, 2011 y en el 2012, se unen 18 países al programa de las Encuestas de Expectativas de Empleo y se agregan datos con ajuste estacional de 10 países en el </w:t>
      </w:r>
      <w:proofErr w:type="spellStart"/>
      <w:r w:rsidRPr="00F86B5B">
        <w:rPr>
          <w:rFonts w:asciiTheme="minorHAnsi" w:hAnsiTheme="minorHAnsi" w:cstheme="minorHAnsi"/>
          <w:sz w:val="22"/>
          <w:szCs w:val="22"/>
        </w:rPr>
        <w:t>1er</w:t>
      </w:r>
      <w:proofErr w:type="spellEnd"/>
      <w:r w:rsidRPr="00F86B5B">
        <w:rPr>
          <w:rFonts w:asciiTheme="minorHAnsi" w:hAnsiTheme="minorHAnsi" w:cstheme="minorHAnsi"/>
          <w:sz w:val="22"/>
          <w:szCs w:val="22"/>
        </w:rPr>
        <w:t>, 2°, 3° y 4° trimestres.</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La Encuesta de Expectativas de Empleo de México, tiene la finalidad de realizar de manera trimestral, la medición de las intenciones de los empresarios sobre incrementos o disminuciones en su plantilla laboral, se realiza bajo una metodología con altos estándares de investigación de mercado y a su equipo de investigación se integró el de </w:t>
      </w:r>
      <w:proofErr w:type="spellStart"/>
      <w:r w:rsidRPr="00F86B5B">
        <w:rPr>
          <w:rFonts w:asciiTheme="minorHAnsi" w:hAnsiTheme="minorHAnsi" w:cstheme="minorHAnsi"/>
          <w:sz w:val="22"/>
          <w:szCs w:val="22"/>
        </w:rPr>
        <w:t>Infocorp</w:t>
      </w:r>
      <w:proofErr w:type="spellEnd"/>
      <w:r w:rsidRPr="00F86B5B">
        <w:rPr>
          <w:rFonts w:asciiTheme="minorHAnsi" w:hAnsiTheme="minorHAnsi" w:cstheme="minorHAnsi"/>
          <w:sz w:val="22"/>
          <w:szCs w:val="22"/>
        </w:rPr>
        <w:t xml:space="preserve"> Ltd.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Desde 2002, </w:t>
      </w:r>
      <w:proofErr w:type="spellStart"/>
      <w:r w:rsidRPr="00F86B5B">
        <w:rPr>
          <w:rFonts w:asciiTheme="minorHAnsi" w:hAnsiTheme="minorHAnsi" w:cstheme="minorHAnsi"/>
          <w:sz w:val="22"/>
          <w:szCs w:val="22"/>
        </w:rPr>
        <w:t>Manpower</w:t>
      </w:r>
      <w:proofErr w:type="spellEnd"/>
      <w:r w:rsidRPr="00F86B5B">
        <w:rPr>
          <w:rFonts w:asciiTheme="minorHAnsi" w:hAnsiTheme="minorHAnsi" w:cstheme="minorHAnsi"/>
          <w:sz w:val="22"/>
          <w:szCs w:val="22"/>
        </w:rPr>
        <w:t xml:space="preserve"> </w:t>
      </w:r>
      <w:proofErr w:type="spellStart"/>
      <w:r w:rsidRPr="00F86B5B">
        <w:rPr>
          <w:rFonts w:asciiTheme="minorHAnsi" w:hAnsiTheme="minorHAnsi" w:cstheme="minorHAnsi"/>
          <w:sz w:val="22"/>
          <w:szCs w:val="22"/>
        </w:rPr>
        <w:t>Group</w:t>
      </w:r>
      <w:proofErr w:type="spellEnd"/>
      <w:r w:rsidRPr="00F86B5B">
        <w:rPr>
          <w:rFonts w:asciiTheme="minorHAnsi" w:hAnsiTheme="minorHAnsi" w:cstheme="minorHAnsi"/>
          <w:sz w:val="22"/>
          <w:szCs w:val="22"/>
        </w:rPr>
        <w:t xml:space="preserve"> México levanta la Encuesta de Expectativas de Empleo en México con la partición de 4,805 empresarios. Con este número de entrevistas el margen de error para la encuesta mexicana se ubica en +/- 1.4%.</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lastRenderedPageBreak/>
        <w:t>La Encuesta de Expectativas de Empleo, es única, por su tamaño, alcance, antigüedad y enfoque. También tiene la característica de ser predictiva a partir de cuestionar a los empresarios sobre sus expectativas de contratación para el siguiente trimestre del que se informa. Asimismo, es independiente, porque se realiza bajo una muestra representativa de empresarios. Es robusta, porque se realiza a más de 4,805 empresarios públicos y privados. Es enfocada, porque toda la información se deriva de una sola pregunta “¿Prevé usted movimientos laborales en su organización para el próximo trimestre, en compar</w:t>
      </w:r>
      <w:r w:rsidR="00CB1735" w:rsidRPr="00F86B5B">
        <w:rPr>
          <w:rFonts w:asciiTheme="minorHAnsi" w:hAnsiTheme="minorHAnsi" w:cstheme="minorHAnsi"/>
          <w:sz w:val="22"/>
          <w:szCs w:val="22"/>
        </w:rPr>
        <w:t>ación con el trimestre actual?”</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 xml:space="preserve">En la Encuesta de Expectativas de Empleo, se utiliza un cálculo que se conoce como Tendencia Neta del Empleo, el cual se obtiene del porcentaje de participantes que prevé un incremento en contrataciones y restarle, el porcentaje </w:t>
      </w:r>
      <w:r w:rsidR="00E04557" w:rsidRPr="00F86B5B">
        <w:rPr>
          <w:rFonts w:asciiTheme="minorHAnsi" w:hAnsiTheme="minorHAnsi" w:cstheme="minorHAnsi"/>
          <w:sz w:val="22"/>
          <w:szCs w:val="22"/>
        </w:rPr>
        <w:t xml:space="preserve">de participantes que prevén una </w:t>
      </w:r>
      <w:r w:rsidRPr="00F86B5B">
        <w:rPr>
          <w:rFonts w:asciiTheme="minorHAnsi" w:hAnsiTheme="minorHAnsi" w:cstheme="minorHAnsi"/>
          <w:sz w:val="22"/>
          <w:szCs w:val="22"/>
        </w:rPr>
        <w:t xml:space="preserve">disminución en sus plantillas laborales.  </w:t>
      </w:r>
    </w:p>
    <w:p w:rsidR="00395C88"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También se utiliza en la Encuesta de Expectativas de Empleo la metodología TRAMO-</w:t>
      </w:r>
      <w:proofErr w:type="spellStart"/>
      <w:r w:rsidRPr="00F86B5B">
        <w:rPr>
          <w:rFonts w:asciiTheme="minorHAnsi" w:hAnsiTheme="minorHAnsi" w:cstheme="minorHAnsi"/>
          <w:sz w:val="22"/>
          <w:szCs w:val="22"/>
        </w:rPr>
        <w:t>SEATS</w:t>
      </w:r>
      <w:proofErr w:type="spellEnd"/>
      <w:r w:rsidRPr="00F86B5B">
        <w:rPr>
          <w:rFonts w:asciiTheme="minorHAnsi" w:hAnsiTheme="minorHAnsi" w:cstheme="minorHAnsi"/>
          <w:sz w:val="22"/>
          <w:szCs w:val="22"/>
        </w:rPr>
        <w:t xml:space="preserve"> de ajuste estacional, que se aplica en México desde el 2008, con el objetivo de obtener información sin considerar las fluctuacion</w:t>
      </w:r>
      <w:r w:rsidR="00E04557" w:rsidRPr="00F86B5B">
        <w:rPr>
          <w:rFonts w:asciiTheme="minorHAnsi" w:hAnsiTheme="minorHAnsi" w:cstheme="minorHAnsi"/>
          <w:sz w:val="22"/>
          <w:szCs w:val="22"/>
        </w:rPr>
        <w:t xml:space="preserve">es en el empleo que normalmente </w:t>
      </w:r>
      <w:r w:rsidRPr="00F86B5B">
        <w:rPr>
          <w:rFonts w:asciiTheme="minorHAnsi" w:hAnsiTheme="minorHAnsi" w:cstheme="minorHAnsi"/>
          <w:sz w:val="22"/>
          <w:szCs w:val="22"/>
        </w:rPr>
        <w:t xml:space="preserve">ocurren cada año en el mismo período, proporcionado datos más precisos en el tiempo. </w:t>
      </w:r>
    </w:p>
    <w:p w:rsidR="00F86B5B" w:rsidRPr="00F86B5B" w:rsidRDefault="00395C88" w:rsidP="00F86B5B">
      <w:pPr>
        <w:spacing w:after="240" w:line="360" w:lineRule="auto"/>
        <w:ind w:firstLine="282"/>
        <w:rPr>
          <w:rFonts w:asciiTheme="minorHAnsi" w:hAnsiTheme="minorHAnsi" w:cstheme="minorHAnsi"/>
          <w:sz w:val="22"/>
          <w:szCs w:val="22"/>
        </w:rPr>
      </w:pPr>
      <w:r w:rsidRPr="00F86B5B">
        <w:rPr>
          <w:rFonts w:asciiTheme="minorHAnsi" w:hAnsiTheme="minorHAnsi" w:cstheme="minorHAnsi"/>
          <w:sz w:val="22"/>
          <w:szCs w:val="22"/>
        </w:rPr>
        <w:t>En términos g</w:t>
      </w:r>
      <w:r w:rsidR="00E04557" w:rsidRPr="00F86B5B">
        <w:rPr>
          <w:rFonts w:asciiTheme="minorHAnsi" w:hAnsiTheme="minorHAnsi" w:cstheme="minorHAnsi"/>
          <w:sz w:val="22"/>
          <w:szCs w:val="22"/>
        </w:rPr>
        <w:t xml:space="preserve">enerales se puede decir que la </w:t>
      </w:r>
      <w:r w:rsidRPr="00F86B5B">
        <w:rPr>
          <w:rFonts w:asciiTheme="minorHAnsi" w:hAnsiTheme="minorHAnsi" w:cstheme="minorHAnsi"/>
          <w:sz w:val="22"/>
          <w:szCs w:val="22"/>
        </w:rPr>
        <w:t xml:space="preserve">Encuesta de Expectativas de Empleo, es uno de los instrumentos </w:t>
      </w:r>
      <w:proofErr w:type="spellStart"/>
      <w:r w:rsidRPr="00F86B5B">
        <w:rPr>
          <w:rFonts w:asciiTheme="minorHAnsi" w:hAnsiTheme="minorHAnsi" w:cstheme="minorHAnsi"/>
          <w:sz w:val="22"/>
          <w:szCs w:val="22"/>
        </w:rPr>
        <w:t>muestrales</w:t>
      </w:r>
      <w:proofErr w:type="spellEnd"/>
      <w:r w:rsidRPr="00F86B5B">
        <w:rPr>
          <w:rFonts w:asciiTheme="minorHAnsi" w:hAnsiTheme="minorHAnsi" w:cstheme="minorHAnsi"/>
          <w:sz w:val="22"/>
          <w:szCs w:val="22"/>
        </w:rPr>
        <w:t xml:space="preserve"> más confiables sobre la actividad laboral en prospectiva en México.</w:t>
      </w:r>
      <w:bookmarkStart w:id="0" w:name="_GoBack"/>
      <w:bookmarkEnd w:id="0"/>
    </w:p>
    <w:sectPr w:rsidR="00F86B5B" w:rsidRPr="00F86B5B" w:rsidSect="00E04557">
      <w:headerReference w:type="default" r:id="rId8"/>
      <w:footerReference w:type="default" r:id="rId9"/>
      <w:footerReference w:type="first" r:id="rId10"/>
      <w:pgSz w:w="12242" w:h="15842" w:code="1"/>
      <w:pgMar w:top="1418" w:right="1021" w:bottom="851" w:left="1247" w:header="567" w:footer="39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474E" w:rsidRDefault="00E9474E" w:rsidP="00FE0712">
      <w:r>
        <w:separator/>
      </w:r>
    </w:p>
  </w:endnote>
  <w:endnote w:type="continuationSeparator" w:id="0">
    <w:p w:rsidR="00E9474E" w:rsidRDefault="00E9474E" w:rsidP="00FE0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egrita">
    <w:altName w:val="Arial"/>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Arial"/>
        <w:sz w:val="18"/>
        <w:szCs w:val="18"/>
      </w:rPr>
      <w:id w:val="1063905756"/>
      <w:docPartObj>
        <w:docPartGallery w:val="Page Numbers (Bottom of Page)"/>
        <w:docPartUnique/>
      </w:docPartObj>
    </w:sdtPr>
    <w:sdtEndPr/>
    <w:sdtContent>
      <w:sdt>
        <w:sdtPr>
          <w:rPr>
            <w:rFonts w:cs="Arial"/>
            <w:sz w:val="18"/>
            <w:szCs w:val="18"/>
          </w:rPr>
          <w:id w:val="427935092"/>
          <w:docPartObj>
            <w:docPartGallery w:val="Page Numbers (Top of Page)"/>
            <w:docPartUnique/>
          </w:docPartObj>
        </w:sdtPr>
        <w:sdtEndPr/>
        <w:sdtContent>
          <w:sdt>
            <w:sdtPr>
              <w:rPr>
                <w:rFonts w:cs="Arial"/>
                <w:sz w:val="18"/>
                <w:szCs w:val="18"/>
              </w:rPr>
              <w:id w:val="1758095729"/>
              <w:docPartObj>
                <w:docPartGallery w:val="Page Numbers (Bottom of Page)"/>
                <w:docPartUnique/>
              </w:docPartObj>
            </w:sdtPr>
            <w:sdtEndPr/>
            <w:sdtContent>
              <w:p w:rsidR="00312A45" w:rsidRPr="00832C0C" w:rsidRDefault="00824EA7" w:rsidP="00824EA7">
                <w:pPr>
                  <w:pStyle w:val="Footer"/>
                  <w:pBdr>
                    <w:top w:val="single" w:sz="4" w:space="1" w:color="C00000"/>
                  </w:pBdr>
                  <w:tabs>
                    <w:tab w:val="clear" w:pos="8504"/>
                    <w:tab w:val="right" w:pos="9923"/>
                  </w:tabs>
                  <w:rPr>
                    <w:rFonts w:cs="Arial"/>
                    <w:sz w:val="18"/>
                    <w:szCs w:val="18"/>
                  </w:rPr>
                </w:pPr>
                <w:r w:rsidRPr="00824EA7">
                  <w:rPr>
                    <w:rFonts w:cs="Arial"/>
                    <w:b/>
                    <w:smallCaps/>
                    <w:sz w:val="18"/>
                    <w:szCs w:val="18"/>
                  </w:rPr>
                  <w:t>Mapeo de Habilidades APEC</w:t>
                </w:r>
                <w:r>
                  <w:rPr>
                    <w:rFonts w:cs="Arial"/>
                    <w:sz w:val="18"/>
                    <w:szCs w:val="18"/>
                  </w:rPr>
                  <w:t xml:space="preserve"> </w:t>
                </w:r>
                <w:r w:rsidR="00881EA8" w:rsidRPr="00832C0C">
                  <w:rPr>
                    <w:rFonts w:cs="Arial"/>
                    <w:sz w:val="18"/>
                    <w:szCs w:val="18"/>
                  </w:rPr>
                  <w:tab/>
                </w:r>
                <w:r>
                  <w:rPr>
                    <w:rFonts w:cs="Arial"/>
                    <w:sz w:val="18"/>
                    <w:szCs w:val="18"/>
                  </w:rPr>
                  <w:tab/>
                </w:r>
                <w:r w:rsidR="00881EA8" w:rsidRPr="00832C0C">
                  <w:rPr>
                    <w:rFonts w:cs="Arial"/>
                    <w:sz w:val="18"/>
                    <w:szCs w:val="18"/>
                    <w:lang w:val="es-ES"/>
                  </w:rPr>
                  <w:t xml:space="preserve">Página </w:t>
                </w:r>
                <w:r w:rsidR="00881EA8" w:rsidRPr="00832C0C">
                  <w:rPr>
                    <w:rFonts w:cs="Arial"/>
                    <w:b/>
                    <w:bCs/>
                    <w:sz w:val="18"/>
                    <w:szCs w:val="18"/>
                  </w:rPr>
                  <w:fldChar w:fldCharType="begin"/>
                </w:r>
                <w:r w:rsidR="00881EA8" w:rsidRPr="00832C0C">
                  <w:rPr>
                    <w:rFonts w:cs="Arial"/>
                    <w:b/>
                    <w:bCs/>
                    <w:sz w:val="18"/>
                    <w:szCs w:val="18"/>
                  </w:rPr>
                  <w:instrText>PAGE</w:instrText>
                </w:r>
                <w:r w:rsidR="00881EA8" w:rsidRPr="00832C0C">
                  <w:rPr>
                    <w:rFonts w:cs="Arial"/>
                    <w:b/>
                    <w:bCs/>
                    <w:sz w:val="18"/>
                    <w:szCs w:val="18"/>
                  </w:rPr>
                  <w:fldChar w:fldCharType="separate"/>
                </w:r>
                <w:r w:rsidR="00F86B5B">
                  <w:rPr>
                    <w:rFonts w:cs="Arial"/>
                    <w:b/>
                    <w:bCs/>
                    <w:noProof/>
                    <w:sz w:val="18"/>
                    <w:szCs w:val="18"/>
                  </w:rPr>
                  <w:t>1</w:t>
                </w:r>
                <w:r w:rsidR="00881EA8" w:rsidRPr="00832C0C">
                  <w:rPr>
                    <w:rFonts w:cs="Arial"/>
                    <w:b/>
                    <w:bCs/>
                    <w:sz w:val="18"/>
                    <w:szCs w:val="18"/>
                  </w:rPr>
                  <w:fldChar w:fldCharType="end"/>
                </w:r>
                <w:r w:rsidR="00881EA8" w:rsidRPr="00832C0C">
                  <w:rPr>
                    <w:rFonts w:cs="Arial"/>
                    <w:sz w:val="18"/>
                    <w:szCs w:val="18"/>
                    <w:lang w:val="es-ES"/>
                  </w:rPr>
                  <w:t xml:space="preserve"> de </w:t>
                </w:r>
                <w:r w:rsidR="00881EA8" w:rsidRPr="00832C0C">
                  <w:rPr>
                    <w:rFonts w:cs="Arial"/>
                    <w:b/>
                    <w:bCs/>
                    <w:sz w:val="18"/>
                    <w:szCs w:val="18"/>
                  </w:rPr>
                  <w:fldChar w:fldCharType="begin"/>
                </w:r>
                <w:r w:rsidR="00881EA8" w:rsidRPr="00832C0C">
                  <w:rPr>
                    <w:rFonts w:cs="Arial"/>
                    <w:b/>
                    <w:bCs/>
                    <w:sz w:val="18"/>
                    <w:szCs w:val="18"/>
                  </w:rPr>
                  <w:instrText>NUMPAGES</w:instrText>
                </w:r>
                <w:r w:rsidR="00881EA8" w:rsidRPr="00832C0C">
                  <w:rPr>
                    <w:rFonts w:cs="Arial"/>
                    <w:b/>
                    <w:bCs/>
                    <w:sz w:val="18"/>
                    <w:szCs w:val="18"/>
                  </w:rPr>
                  <w:fldChar w:fldCharType="separate"/>
                </w:r>
                <w:r w:rsidR="00F86B5B">
                  <w:rPr>
                    <w:rFonts w:cs="Arial"/>
                    <w:b/>
                    <w:bCs/>
                    <w:noProof/>
                    <w:sz w:val="18"/>
                    <w:szCs w:val="18"/>
                  </w:rPr>
                  <w:t>8</w:t>
                </w:r>
                <w:r w:rsidR="00881EA8" w:rsidRPr="00832C0C">
                  <w:rPr>
                    <w:rFonts w:cs="Arial"/>
                    <w:b/>
                    <w:bCs/>
                    <w:sz w:val="18"/>
                    <w:szCs w:val="18"/>
                  </w:rPr>
                  <w:fldChar w:fldCharType="end"/>
                </w:r>
              </w:p>
              <w:p w:rsidR="00312A45" w:rsidRPr="00832C0C" w:rsidRDefault="00F86B5B" w:rsidP="00832C0C">
                <w:pPr>
                  <w:pStyle w:val="Footer"/>
                  <w:tabs>
                    <w:tab w:val="right" w:pos="9639"/>
                  </w:tabs>
                  <w:jc w:val="both"/>
                  <w:rPr>
                    <w:rFonts w:cs="Arial"/>
                    <w:sz w:val="18"/>
                    <w:szCs w:val="18"/>
                  </w:rPr>
                </w:pPr>
              </w:p>
            </w:sdtContent>
          </w:sdt>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27AF" w:rsidRPr="00160481" w:rsidRDefault="00881EA8" w:rsidP="00C127AF">
    <w:pPr>
      <w:pStyle w:val="Footer"/>
      <w:jc w:val="right"/>
      <w:rPr>
        <w:sz w:val="18"/>
        <w:szCs w:val="18"/>
      </w:rPr>
    </w:pPr>
    <w:r w:rsidRPr="00160481">
      <w:rPr>
        <w:rStyle w:val="PageNumber"/>
        <w:sz w:val="18"/>
        <w:szCs w:val="18"/>
      </w:rPr>
      <w:fldChar w:fldCharType="begin"/>
    </w:r>
    <w:r w:rsidRPr="00160481">
      <w:rPr>
        <w:rStyle w:val="PageNumber"/>
        <w:sz w:val="18"/>
        <w:szCs w:val="18"/>
      </w:rPr>
      <w:instrText xml:space="preserve"> PAGE </w:instrText>
    </w:r>
    <w:r w:rsidRPr="00160481">
      <w:rPr>
        <w:rStyle w:val="PageNumber"/>
        <w:sz w:val="18"/>
        <w:szCs w:val="18"/>
      </w:rPr>
      <w:fldChar w:fldCharType="separate"/>
    </w:r>
    <w:r>
      <w:rPr>
        <w:rStyle w:val="PageNumber"/>
        <w:noProof/>
        <w:sz w:val="18"/>
        <w:szCs w:val="18"/>
      </w:rPr>
      <w:t>1</w:t>
    </w:r>
    <w:r w:rsidRPr="00160481">
      <w:rPr>
        <w:rStyle w:val="PageNumber"/>
        <w:sz w:val="18"/>
        <w:szCs w:val="18"/>
      </w:rPr>
      <w:fldChar w:fldCharType="end"/>
    </w:r>
    <w:r>
      <w:rPr>
        <w:rStyle w:val="PageNumber"/>
        <w:sz w:val="18"/>
        <w:szCs w:val="18"/>
      </w:rPr>
      <w:t>/</w:t>
    </w:r>
    <w:r w:rsidRPr="00160481">
      <w:rPr>
        <w:rStyle w:val="PageNumber"/>
        <w:sz w:val="18"/>
        <w:szCs w:val="18"/>
      </w:rPr>
      <w:fldChar w:fldCharType="begin"/>
    </w:r>
    <w:r w:rsidRPr="00160481">
      <w:rPr>
        <w:rStyle w:val="PageNumber"/>
        <w:sz w:val="18"/>
        <w:szCs w:val="18"/>
      </w:rPr>
      <w:instrText xml:space="preserve"> NUMPAGES </w:instrText>
    </w:r>
    <w:r w:rsidRPr="00160481">
      <w:rPr>
        <w:rStyle w:val="PageNumber"/>
        <w:sz w:val="18"/>
        <w:szCs w:val="18"/>
      </w:rPr>
      <w:fldChar w:fldCharType="separate"/>
    </w:r>
    <w:r w:rsidR="00824EA7">
      <w:rPr>
        <w:rStyle w:val="PageNumber"/>
        <w:noProof/>
        <w:sz w:val="18"/>
        <w:szCs w:val="18"/>
      </w:rPr>
      <w:t>10</w:t>
    </w:r>
    <w:r w:rsidRPr="00160481">
      <w:rPr>
        <w:rStyle w:val="PageNumbe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474E" w:rsidRDefault="00E9474E" w:rsidP="00FE0712">
      <w:r>
        <w:separator/>
      </w:r>
    </w:p>
  </w:footnote>
  <w:footnote w:type="continuationSeparator" w:id="0">
    <w:p w:rsidR="00E9474E" w:rsidRDefault="00E9474E" w:rsidP="00FE07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668B" w:rsidRPr="00832C0C" w:rsidRDefault="00881EA8" w:rsidP="00512346">
    <w:pPr>
      <w:pStyle w:val="Header"/>
      <w:tabs>
        <w:tab w:val="clear" w:pos="8504"/>
        <w:tab w:val="right" w:pos="9781"/>
      </w:tabs>
      <w:spacing w:after="0"/>
      <w:rPr>
        <w:rFonts w:ascii="Arial" w:hAnsi="Arial" w:cs="Arial"/>
        <w:sz w:val="18"/>
        <w:szCs w:val="18"/>
      </w:rPr>
    </w:pPr>
    <w:r w:rsidRPr="00832C0C">
      <w:rPr>
        <w:rFonts w:ascii="Arial" w:hAnsi="Arial" w:cs="Arial"/>
        <w:b/>
        <w:sz w:val="18"/>
        <w:szCs w:val="18"/>
      </w:rPr>
      <w:t>Secretaría del Trabajo y Previsión Social</w:t>
    </w:r>
    <w:r w:rsidRPr="00832C0C">
      <w:rPr>
        <w:rFonts w:ascii="Arial" w:hAnsi="Arial" w:cs="Arial"/>
        <w:sz w:val="18"/>
        <w:szCs w:val="18"/>
      </w:rPr>
      <w:tab/>
    </w:r>
    <w:r w:rsidRPr="00832C0C">
      <w:rPr>
        <w:rFonts w:ascii="Arial" w:hAnsi="Arial" w:cs="Arial"/>
        <w:sz w:val="18"/>
        <w:szCs w:val="18"/>
      </w:rPr>
      <w:tab/>
    </w:r>
  </w:p>
  <w:p w:rsidR="00D63588" w:rsidRDefault="00881EA8" w:rsidP="00512346">
    <w:pPr>
      <w:pStyle w:val="Header"/>
      <w:tabs>
        <w:tab w:val="clear" w:pos="8504"/>
        <w:tab w:val="right" w:pos="9781"/>
      </w:tabs>
      <w:spacing w:after="0"/>
      <w:rPr>
        <w:rFonts w:ascii="Arial" w:hAnsi="Arial" w:cs="Arial"/>
        <w:b/>
        <w:smallCaps w:val="0"/>
        <w:sz w:val="18"/>
        <w:szCs w:val="18"/>
      </w:rPr>
    </w:pPr>
    <w:r w:rsidRPr="00832C0C">
      <w:rPr>
        <w:rFonts w:ascii="Arial" w:hAnsi="Arial" w:cs="Arial"/>
        <w:b/>
        <w:sz w:val="18"/>
        <w:szCs w:val="18"/>
      </w:rPr>
      <w:t xml:space="preserve">Unidad de Asuntos Internacionales </w:t>
    </w:r>
    <w:r w:rsidRPr="00832C0C">
      <w:rPr>
        <w:rFonts w:ascii="Arial" w:hAnsi="Arial" w:cs="Arial"/>
        <w:b/>
        <w:smallCaps w:val="0"/>
        <w:sz w:val="18"/>
        <w:szCs w:val="18"/>
      </w:rPr>
      <w:tab/>
    </w:r>
    <w:r w:rsidRPr="00832C0C">
      <w:rPr>
        <w:rFonts w:ascii="Arial" w:hAnsi="Arial" w:cs="Arial"/>
        <w:b/>
        <w:smallCaps w:val="0"/>
        <w:sz w:val="18"/>
        <w:szCs w:val="18"/>
      </w:rPr>
      <w:tab/>
    </w:r>
  </w:p>
  <w:p w:rsidR="003A4AB6" w:rsidRPr="003A4AB6" w:rsidRDefault="003A4AB6" w:rsidP="00512346">
    <w:pPr>
      <w:pStyle w:val="Header"/>
      <w:tabs>
        <w:tab w:val="clear" w:pos="8504"/>
        <w:tab w:val="right" w:pos="9781"/>
      </w:tabs>
      <w:spacing w:after="0"/>
      <w:rPr>
        <w:rFonts w:ascii="Arial" w:hAnsi="Arial" w:cs="Arial"/>
        <w:b/>
        <w:smallCaps w:val="0"/>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CF206C"/>
    <w:multiLevelType w:val="hybridMultilevel"/>
    <w:tmpl w:val="957E86D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CAC4930"/>
    <w:multiLevelType w:val="hybridMultilevel"/>
    <w:tmpl w:val="DF3CAEAE"/>
    <w:lvl w:ilvl="0" w:tplc="080A000F">
      <w:start w:val="1"/>
      <w:numFmt w:val="decimal"/>
      <w:lvlText w:val="%1."/>
      <w:lvlJc w:val="left"/>
      <w:pPr>
        <w:ind w:left="644" w:hanging="360"/>
      </w:pPr>
      <w:rPr>
        <w:rFonts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712"/>
    <w:rsid w:val="00265F5B"/>
    <w:rsid w:val="00395C88"/>
    <w:rsid w:val="003A4AB6"/>
    <w:rsid w:val="006F4257"/>
    <w:rsid w:val="00824EA7"/>
    <w:rsid w:val="00881EA8"/>
    <w:rsid w:val="009226A3"/>
    <w:rsid w:val="00953C1B"/>
    <w:rsid w:val="00CB1735"/>
    <w:rsid w:val="00DB4CE7"/>
    <w:rsid w:val="00E04557"/>
    <w:rsid w:val="00E9474E"/>
    <w:rsid w:val="00F86B5B"/>
    <w:rsid w:val="00FA7704"/>
    <w:rsid w:val="00FE071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712"/>
    <w:pPr>
      <w:spacing w:after="0" w:line="240" w:lineRule="auto"/>
    </w:pPr>
    <w:rPr>
      <w:rFonts w:ascii="Arial" w:eastAsia="Times New Roman" w:hAnsi="Arial" w:cs="Times New Roman"/>
      <w:sz w:val="24"/>
      <w:szCs w:val="24"/>
      <w:lang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E0712"/>
    <w:pPr>
      <w:tabs>
        <w:tab w:val="left" w:pos="851"/>
        <w:tab w:val="center" w:pos="4252"/>
        <w:tab w:val="right" w:pos="8504"/>
      </w:tabs>
      <w:spacing w:after="120"/>
      <w:jc w:val="both"/>
    </w:pPr>
    <w:rPr>
      <w:rFonts w:ascii="Arial Narrow" w:hAnsi="Arial Narrow"/>
      <w:smallCaps/>
      <w:sz w:val="20"/>
      <w:szCs w:val="20"/>
      <w:lang w:eastAsia="es-ES"/>
    </w:rPr>
  </w:style>
  <w:style w:type="character" w:customStyle="1" w:styleId="HeaderChar">
    <w:name w:val="Header Char"/>
    <w:basedOn w:val="DefaultParagraphFont"/>
    <w:link w:val="Header"/>
    <w:uiPriority w:val="99"/>
    <w:rsid w:val="00FE0712"/>
    <w:rPr>
      <w:rFonts w:ascii="Arial Narrow" w:eastAsia="Times New Roman" w:hAnsi="Arial Narrow" w:cs="Times New Roman"/>
      <w:smallCaps/>
      <w:sz w:val="20"/>
      <w:szCs w:val="20"/>
      <w:lang w:eastAsia="es-ES"/>
    </w:rPr>
  </w:style>
  <w:style w:type="paragraph" w:styleId="Footer">
    <w:name w:val="footer"/>
    <w:basedOn w:val="Normal"/>
    <w:link w:val="FooterChar"/>
    <w:uiPriority w:val="99"/>
    <w:rsid w:val="00FE0712"/>
    <w:pPr>
      <w:tabs>
        <w:tab w:val="center" w:pos="4252"/>
        <w:tab w:val="right" w:pos="8504"/>
      </w:tabs>
    </w:pPr>
  </w:style>
  <w:style w:type="character" w:customStyle="1" w:styleId="FooterChar">
    <w:name w:val="Footer Char"/>
    <w:basedOn w:val="DefaultParagraphFont"/>
    <w:link w:val="Footer"/>
    <w:uiPriority w:val="99"/>
    <w:rsid w:val="00FE0712"/>
    <w:rPr>
      <w:rFonts w:ascii="Arial" w:eastAsia="Times New Roman" w:hAnsi="Arial" w:cs="Times New Roman"/>
      <w:sz w:val="24"/>
      <w:szCs w:val="24"/>
      <w:lang w:eastAsia="es-MX"/>
    </w:rPr>
  </w:style>
  <w:style w:type="character" w:styleId="PageNumber">
    <w:name w:val="page number"/>
    <w:basedOn w:val="DefaultParagraphFont"/>
    <w:rsid w:val="00FE0712"/>
  </w:style>
  <w:style w:type="paragraph" w:styleId="ListParagraph">
    <w:name w:val="List Paragraph"/>
    <w:basedOn w:val="Normal"/>
    <w:uiPriority w:val="34"/>
    <w:qFormat/>
    <w:rsid w:val="00FE0712"/>
    <w:pPr>
      <w:ind w:left="720"/>
      <w:contextualSpacing/>
    </w:pPr>
  </w:style>
  <w:style w:type="paragraph" w:styleId="BalloonText">
    <w:name w:val="Balloon Text"/>
    <w:basedOn w:val="Normal"/>
    <w:link w:val="BalloonTextChar"/>
    <w:uiPriority w:val="99"/>
    <w:semiHidden/>
    <w:unhideWhenUsed/>
    <w:rsid w:val="00824EA7"/>
    <w:rPr>
      <w:rFonts w:ascii="Tahoma" w:hAnsi="Tahoma" w:cs="Tahoma"/>
      <w:sz w:val="16"/>
      <w:szCs w:val="16"/>
    </w:rPr>
  </w:style>
  <w:style w:type="character" w:customStyle="1" w:styleId="BalloonTextChar">
    <w:name w:val="Balloon Text Char"/>
    <w:basedOn w:val="DefaultParagraphFont"/>
    <w:link w:val="BalloonText"/>
    <w:uiPriority w:val="99"/>
    <w:semiHidden/>
    <w:rsid w:val="00824EA7"/>
    <w:rPr>
      <w:rFonts w:ascii="Tahoma" w:eastAsia="Times New Roman" w:hAnsi="Tahoma" w:cs="Tahoma"/>
      <w:sz w:val="16"/>
      <w:szCs w:val="16"/>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712"/>
    <w:pPr>
      <w:spacing w:after="0" w:line="240" w:lineRule="auto"/>
    </w:pPr>
    <w:rPr>
      <w:rFonts w:ascii="Arial" w:eastAsia="Times New Roman" w:hAnsi="Arial" w:cs="Times New Roman"/>
      <w:sz w:val="24"/>
      <w:szCs w:val="24"/>
      <w:lang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E0712"/>
    <w:pPr>
      <w:tabs>
        <w:tab w:val="left" w:pos="851"/>
        <w:tab w:val="center" w:pos="4252"/>
        <w:tab w:val="right" w:pos="8504"/>
      </w:tabs>
      <w:spacing w:after="120"/>
      <w:jc w:val="both"/>
    </w:pPr>
    <w:rPr>
      <w:rFonts w:ascii="Arial Narrow" w:hAnsi="Arial Narrow"/>
      <w:smallCaps/>
      <w:sz w:val="20"/>
      <w:szCs w:val="20"/>
      <w:lang w:eastAsia="es-ES"/>
    </w:rPr>
  </w:style>
  <w:style w:type="character" w:customStyle="1" w:styleId="HeaderChar">
    <w:name w:val="Header Char"/>
    <w:basedOn w:val="DefaultParagraphFont"/>
    <w:link w:val="Header"/>
    <w:uiPriority w:val="99"/>
    <w:rsid w:val="00FE0712"/>
    <w:rPr>
      <w:rFonts w:ascii="Arial Narrow" w:eastAsia="Times New Roman" w:hAnsi="Arial Narrow" w:cs="Times New Roman"/>
      <w:smallCaps/>
      <w:sz w:val="20"/>
      <w:szCs w:val="20"/>
      <w:lang w:eastAsia="es-ES"/>
    </w:rPr>
  </w:style>
  <w:style w:type="paragraph" w:styleId="Footer">
    <w:name w:val="footer"/>
    <w:basedOn w:val="Normal"/>
    <w:link w:val="FooterChar"/>
    <w:uiPriority w:val="99"/>
    <w:rsid w:val="00FE0712"/>
    <w:pPr>
      <w:tabs>
        <w:tab w:val="center" w:pos="4252"/>
        <w:tab w:val="right" w:pos="8504"/>
      </w:tabs>
    </w:pPr>
  </w:style>
  <w:style w:type="character" w:customStyle="1" w:styleId="FooterChar">
    <w:name w:val="Footer Char"/>
    <w:basedOn w:val="DefaultParagraphFont"/>
    <w:link w:val="Footer"/>
    <w:uiPriority w:val="99"/>
    <w:rsid w:val="00FE0712"/>
    <w:rPr>
      <w:rFonts w:ascii="Arial" w:eastAsia="Times New Roman" w:hAnsi="Arial" w:cs="Times New Roman"/>
      <w:sz w:val="24"/>
      <w:szCs w:val="24"/>
      <w:lang w:eastAsia="es-MX"/>
    </w:rPr>
  </w:style>
  <w:style w:type="character" w:styleId="PageNumber">
    <w:name w:val="page number"/>
    <w:basedOn w:val="DefaultParagraphFont"/>
    <w:rsid w:val="00FE0712"/>
  </w:style>
  <w:style w:type="paragraph" w:styleId="ListParagraph">
    <w:name w:val="List Paragraph"/>
    <w:basedOn w:val="Normal"/>
    <w:uiPriority w:val="34"/>
    <w:qFormat/>
    <w:rsid w:val="00FE0712"/>
    <w:pPr>
      <w:ind w:left="720"/>
      <w:contextualSpacing/>
    </w:pPr>
  </w:style>
  <w:style w:type="paragraph" w:styleId="BalloonText">
    <w:name w:val="Balloon Text"/>
    <w:basedOn w:val="Normal"/>
    <w:link w:val="BalloonTextChar"/>
    <w:uiPriority w:val="99"/>
    <w:semiHidden/>
    <w:unhideWhenUsed/>
    <w:rsid w:val="00824EA7"/>
    <w:rPr>
      <w:rFonts w:ascii="Tahoma" w:hAnsi="Tahoma" w:cs="Tahoma"/>
      <w:sz w:val="16"/>
      <w:szCs w:val="16"/>
    </w:rPr>
  </w:style>
  <w:style w:type="character" w:customStyle="1" w:styleId="BalloonTextChar">
    <w:name w:val="Balloon Text Char"/>
    <w:basedOn w:val="DefaultParagraphFont"/>
    <w:link w:val="BalloonText"/>
    <w:uiPriority w:val="99"/>
    <w:semiHidden/>
    <w:rsid w:val="00824EA7"/>
    <w:rPr>
      <w:rFonts w:ascii="Tahoma" w:eastAsia="Times New Roman"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68EF99F2.dotm</Template>
  <TotalTime>1</TotalTime>
  <Pages>8</Pages>
  <Words>3088</Words>
  <Characters>17602</Characters>
  <Application>Microsoft Office Word</Application>
  <DocSecurity>4</DocSecurity>
  <Lines>146</Lines>
  <Paragraphs>41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Australian Government</Company>
  <LinksUpToDate>false</LinksUpToDate>
  <CharactersWithSpaces>20649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HMora</dc:creator>
  <cp:lastModifiedBy>Christine Parsonson Healy</cp:lastModifiedBy>
  <cp:revision>2</cp:revision>
  <cp:lastPrinted>2013-05-29T19:38:00Z</cp:lastPrinted>
  <dcterms:created xsi:type="dcterms:W3CDTF">2013-07-03T02:39:00Z</dcterms:created>
  <dcterms:modified xsi:type="dcterms:W3CDTF">2013-07-03T02:39:00Z</dcterms:modified>
</cp:coreProperties>
</file>